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510172</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w:t>
      </w:r>
      <w:r>
        <w:rPr>
          <w:rFonts w:hint="eastAsia" w:ascii="Times New Roman" w:hAnsi="Times New Roman"/>
          <w:sz w:val="22"/>
          <w:highlight w:val="none"/>
        </w:rPr>
        <w:t>.</w:t>
      </w:r>
      <w:r>
        <w:rPr>
          <w:rFonts w:hint="eastAsia" w:ascii="Times New Roman" w:hAnsi="Times New Roman"/>
          <w:sz w:val="22"/>
          <w:highlight w:val="none"/>
          <w:lang w:val="en-US" w:eastAsia="zh-CN"/>
        </w:rPr>
        <w:t>7</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A-IoT</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#107 meeting, the revised WID on Solutions for Ambient IoT (Internet of Things) in NR was approved [1]. According to the WID, the objectives of RAN4 scope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6A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FAD0BE">
            <w:pPr>
              <w:numPr>
                <w:ilvl w:val="0"/>
                <w:numId w:val="3"/>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RAN4 scope:</w:t>
            </w:r>
          </w:p>
          <w:p w14:paraId="5931C61B">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RF requirements for Ambient-IoT BS, device 1, and CW</w:t>
            </w:r>
          </w:p>
          <w:p w14:paraId="08874F73">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Type 1-C Ambient-IoT BS</w:t>
            </w:r>
          </w:p>
          <w:p w14:paraId="17215131">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device 1</w:t>
            </w:r>
          </w:p>
          <w:p w14:paraId="69775E5A">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CW</w:t>
            </w:r>
          </w:p>
          <w:p w14:paraId="173D3E69">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RRM core requirements for device 1, if necessary</w:t>
            </w:r>
          </w:p>
          <w:p w14:paraId="47F85BD2">
            <w:pPr>
              <w:numPr>
                <w:ilvl w:val="1"/>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Study and develop OTA test methodology for A-IoT device 1</w:t>
            </w:r>
          </w:p>
          <w:p w14:paraId="534AE075">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14:paraId="69BCB3A6">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Develop the preliminary Measurement Uncertainty (MU) assessment for the test system</w:t>
            </w:r>
          </w:p>
          <w:p w14:paraId="5325F8A0">
            <w:pPr>
              <w:numPr>
                <w:ilvl w:val="1"/>
                <w:numId w:val="3"/>
              </w:numPr>
              <w:spacing w:after="120"/>
              <w:ind w:right="-96"/>
              <w:jc w:val="both"/>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sz w:val="20"/>
                <w:szCs w:val="20"/>
                <w:lang w:val="en-US" w:eastAsia="zh-CN"/>
              </w:rPr>
              <w:t>Use band n8 as an example band</w:t>
            </w:r>
          </w:p>
        </w:tc>
      </w:tr>
    </w:tbl>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is discussion on RRM core requirements for A-IoT, and a WF was approved [2]. T</w:t>
      </w:r>
      <w:r>
        <w:rPr>
          <w:rFonts w:hint="eastAsia" w:ascii="Times New Roman" w:hAnsi="Times New Roman"/>
          <w:sz w:val="20"/>
          <w:szCs w:val="20"/>
        </w:rPr>
        <w:t xml:space="preserve">his </w:t>
      </w:r>
      <w:r>
        <w:rPr>
          <w:rFonts w:hint="eastAsia" w:ascii="Times New Roman" w:hAnsi="Times New Roman"/>
          <w:sz w:val="20"/>
          <w:szCs w:val="20"/>
          <w:lang w:val="en-US" w:eastAsia="zh-CN"/>
        </w:rPr>
        <w:t xml:space="preserve">meeting is the first meeting to discuss RRM performance requirements for device 1.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initial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3E8C3CF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Rel-19 A-IoT focus on </w:t>
      </w:r>
      <w:r>
        <w:rPr>
          <w:rFonts w:hint="default" w:ascii="Times New Roman" w:hAnsi="Times New Roman" w:cs="Times New Roman"/>
          <w:sz w:val="20"/>
          <w:szCs w:val="20"/>
        </w:rPr>
        <w:t>D1T1-B</w:t>
      </w:r>
      <w:r>
        <w:rPr>
          <w:rFonts w:hint="eastAsia" w:ascii="Times New Roman" w:hAnsi="Times New Roman" w:cs="Times New Roman"/>
          <w:sz w:val="20"/>
          <w:szCs w:val="20"/>
          <w:lang w:val="en-US" w:eastAsia="zh-CN"/>
        </w:rPr>
        <w:t xml:space="preserve"> (</w:t>
      </w:r>
      <w:r>
        <w:rPr>
          <w:rFonts w:hint="eastAsia" w:ascii="Times New Roman" w:hAnsi="Times New Roman"/>
          <w:sz w:val="20"/>
          <w:szCs w:val="20"/>
          <w:lang w:val="en-US" w:eastAsia="zh-CN"/>
        </w:rPr>
        <w:t xml:space="preserve">Deployment scenario 1 with Topology 1 ), and Ambient IoT device 1 is considered. </w:t>
      </w:r>
      <w:r>
        <w:rPr>
          <w:rFonts w:hint="default" w:ascii="Times New Roman" w:hAnsi="Times New Roman"/>
          <w:sz w:val="20"/>
          <w:szCs w:val="20"/>
          <w:lang w:val="en-US" w:eastAsia="zh-CN"/>
        </w:rPr>
        <w:t>Deployment scenario 1: Device indoors, basestation indoors</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In Topology 1, the Ambient IoT device directly and bidirectionally communicates with a basestation. The communication between the basestation and the ambient IoT device includes Ambient IoT data and/or signalling.</w:t>
      </w:r>
      <w:r>
        <w:rPr>
          <w:rFonts w:hint="eastAsia" w:ascii="Times New Roman" w:hAnsi="Times New Roman"/>
          <w:sz w:val="20"/>
          <w:szCs w:val="20"/>
          <w:lang w:val="en-US" w:eastAsia="zh-CN"/>
        </w:rPr>
        <w:t xml:space="preserve"> For D1T1-B, CW is outside topology.</w:t>
      </w:r>
    </w:p>
    <w:p w14:paraId="52A74A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scope of the WID [1], only A-IoT Paging, A-IoT Random access and A-IoT data transmission are considered. RAN4 discuss RRM impact in the core part discussion and the agreements are summarized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6AE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DF9526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in RAN4 #114bis meeting (R4-2504905)</w:t>
            </w:r>
          </w:p>
          <w:p w14:paraId="4906AABE">
            <w:pPr>
              <w:snapToGrid w:val="0"/>
              <w:spacing w:after="120"/>
              <w:rPr>
                <w:rFonts w:hint="default" w:ascii="Times New Roman" w:hAnsi="Times New Roman" w:cs="Times New Roman"/>
                <w:b w:val="0"/>
                <w:bCs/>
                <w:sz w:val="20"/>
                <w:szCs w:val="20"/>
                <w:u w:val="single"/>
                <w:lang w:val="en-US" w:eastAsia="zh-CN"/>
              </w:rPr>
            </w:pPr>
            <w:r>
              <w:rPr>
                <w:rFonts w:hint="default" w:ascii="Times New Roman" w:hAnsi="Times New Roman" w:cs="Times New Roman"/>
                <w:b w:val="0"/>
                <w:bCs/>
                <w:sz w:val="20"/>
                <w:szCs w:val="20"/>
                <w:u w:val="single"/>
                <w:lang w:val="en-US" w:eastAsia="zh-CN"/>
              </w:rPr>
              <w:t>Issue 1-1: A-IoT paging</w:t>
            </w:r>
          </w:p>
          <w:p w14:paraId="43B95405">
            <w:pPr>
              <w:rPr>
                <w:rFonts w:hint="default" w:ascii="Times New Roman" w:hAnsi="Times New Roman" w:cs="Times New Roman"/>
                <w:sz w:val="20"/>
                <w:szCs w:val="20"/>
                <w:highlight w:val="green"/>
                <w:lang w:val="en-US"/>
              </w:rPr>
            </w:pPr>
            <w:r>
              <w:rPr>
                <w:rFonts w:hint="default" w:ascii="Times New Roman" w:hAnsi="Times New Roman" w:cs="Times New Roman"/>
                <w:sz w:val="20"/>
                <w:szCs w:val="20"/>
                <w:highlight w:val="green"/>
                <w:lang w:val="sv-SE"/>
              </w:rPr>
              <w:t>Agreement</w:t>
            </w:r>
            <w:r>
              <w:rPr>
                <w:rFonts w:hint="default" w:ascii="Times New Roman" w:hAnsi="Times New Roman" w:eastAsia="宋体" w:cs="Times New Roman"/>
                <w:sz w:val="20"/>
                <w:szCs w:val="20"/>
                <w:highlight w:val="green"/>
                <w:lang w:val="en-US" w:eastAsia="zh-CN"/>
              </w:rPr>
              <w:t>:</w:t>
            </w:r>
          </w:p>
          <w:p w14:paraId="7C191D09">
            <w:pPr>
              <w:numPr>
                <w:ilvl w:val="0"/>
                <w:numId w:val="4"/>
              </w:numPr>
              <w:autoSpaceDN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lang w:val="en-US" w:eastAsia="zh-CN"/>
              </w:rPr>
              <w:t>RAN4 not to define RRM requirements for A-IoT paging</w:t>
            </w:r>
          </w:p>
          <w:p w14:paraId="6A7BCEFD">
            <w:pPr>
              <w:rPr>
                <w:rFonts w:hint="default" w:ascii="Times New Roman" w:hAnsi="Times New Roman" w:cs="Times New Roman"/>
                <w:b/>
                <w:color w:val="0070C0"/>
                <w:sz w:val="20"/>
                <w:szCs w:val="20"/>
                <w:u w:val="single"/>
                <w:lang w:eastAsia="ko-KR"/>
              </w:rPr>
            </w:pPr>
          </w:p>
          <w:p w14:paraId="2AC0AF55">
            <w:pPr>
              <w:snapToGrid w:val="0"/>
              <w:spacing w:after="120"/>
              <w:rPr>
                <w:rFonts w:hint="default" w:ascii="Times New Roman" w:hAnsi="Times New Roman" w:cs="Times New Roman"/>
                <w:b w:val="0"/>
                <w:bCs/>
                <w:sz w:val="20"/>
                <w:szCs w:val="20"/>
                <w:u w:val="single"/>
                <w:lang w:val="en-US" w:eastAsia="zh-CN"/>
              </w:rPr>
            </w:pPr>
            <w:r>
              <w:rPr>
                <w:rFonts w:hint="default" w:ascii="Times New Roman" w:hAnsi="Times New Roman" w:cs="Times New Roman"/>
                <w:b w:val="0"/>
                <w:bCs/>
                <w:sz w:val="20"/>
                <w:szCs w:val="20"/>
                <w:u w:val="single"/>
                <w:lang w:val="en-US" w:eastAsia="zh-CN"/>
              </w:rPr>
              <w:t xml:space="preserve">Issue 1-2: A-IoT data transmission </w:t>
            </w:r>
          </w:p>
          <w:p w14:paraId="1051A7A0">
            <w:pPr>
              <w:overflowPunct w:val="0"/>
              <w:autoSpaceDE w:val="0"/>
              <w:autoSpaceDN w:val="0"/>
              <w:adjustRightInd w:val="0"/>
              <w:snapToGrid w:val="0"/>
              <w:spacing w:after="120"/>
              <w:rPr>
                <w:rFonts w:hint="default" w:ascii="Times New Roman" w:hAnsi="Times New Roman" w:eastAsia="等线" w:cs="Times New Roman"/>
                <w:iCs/>
                <w:sz w:val="20"/>
                <w:szCs w:val="20"/>
                <w:highlight w:val="green"/>
                <w:lang w:val="en-GB"/>
              </w:rPr>
            </w:pPr>
            <w:r>
              <w:rPr>
                <w:rFonts w:hint="default" w:ascii="Times New Roman" w:hAnsi="Times New Roman" w:eastAsia="等线" w:cs="Times New Roman"/>
                <w:iCs/>
                <w:sz w:val="20"/>
                <w:szCs w:val="20"/>
                <w:highlight w:val="green"/>
                <w:lang w:val="en-GB"/>
              </w:rPr>
              <w:t>Agreement:</w:t>
            </w:r>
          </w:p>
          <w:p w14:paraId="279864BE">
            <w:pPr>
              <w:numPr>
                <w:ilvl w:val="0"/>
                <w:numId w:val="4"/>
              </w:numPr>
              <w:autoSpaceDN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lang w:val="en-US" w:eastAsia="zh-CN"/>
              </w:rPr>
              <w:t>Excepting the timing issue discussed in Issue 1-4, no other potential RRM requirement impact is identified for “A-IoT data transmission”</w:t>
            </w:r>
          </w:p>
          <w:p w14:paraId="0CB5A9E4">
            <w:pPr>
              <w:rPr>
                <w:rFonts w:hint="default" w:ascii="Times New Roman" w:hAnsi="Times New Roman" w:cs="Times New Roman"/>
                <w:b/>
                <w:color w:val="0070C0"/>
                <w:sz w:val="20"/>
                <w:szCs w:val="20"/>
                <w:u w:val="single"/>
              </w:rPr>
            </w:pPr>
          </w:p>
          <w:p w14:paraId="0991AFF5">
            <w:pPr>
              <w:snapToGrid w:val="0"/>
              <w:spacing w:after="120"/>
              <w:rPr>
                <w:rFonts w:hint="default" w:ascii="Times New Roman" w:hAnsi="Times New Roman" w:cs="Times New Roman"/>
                <w:b w:val="0"/>
                <w:bCs/>
                <w:sz w:val="20"/>
                <w:szCs w:val="20"/>
                <w:u w:val="single"/>
                <w:lang w:val="en-US" w:eastAsia="zh-CN"/>
              </w:rPr>
            </w:pPr>
            <w:r>
              <w:rPr>
                <w:rFonts w:hint="default" w:ascii="Times New Roman" w:hAnsi="Times New Roman" w:cs="Times New Roman"/>
                <w:b w:val="0"/>
                <w:bCs/>
                <w:sz w:val="20"/>
                <w:szCs w:val="20"/>
                <w:u w:val="single"/>
                <w:lang w:val="en-US" w:eastAsia="zh-CN"/>
              </w:rPr>
              <w:t>Issue 1-3: A-IoT random access procedure</w:t>
            </w:r>
          </w:p>
          <w:p w14:paraId="782ACF8D">
            <w:pPr>
              <w:rPr>
                <w:rFonts w:hint="default" w:ascii="Times New Roman" w:hAnsi="Times New Roman" w:cs="Times New Roman"/>
                <w:sz w:val="20"/>
                <w:szCs w:val="20"/>
                <w:highlight w:val="green"/>
                <w:lang w:val="sv-SE"/>
              </w:rPr>
            </w:pPr>
            <w:r>
              <w:rPr>
                <w:rFonts w:hint="default" w:ascii="Times New Roman" w:hAnsi="Times New Roman" w:cs="Times New Roman"/>
                <w:sz w:val="20"/>
                <w:szCs w:val="20"/>
                <w:highlight w:val="green"/>
                <w:lang w:val="sv-SE"/>
              </w:rPr>
              <w:t>Agreement:</w:t>
            </w:r>
          </w:p>
          <w:p w14:paraId="16D700AA">
            <w:pPr>
              <w:numPr>
                <w:ilvl w:val="0"/>
                <w:numId w:val="4"/>
              </w:numPr>
              <w:autoSpaceDN w:val="0"/>
              <w:snapToGrid w:val="0"/>
              <w:spacing w:after="12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lang w:val="en-US" w:eastAsia="zh-CN"/>
              </w:rPr>
              <w:t>RAN4 to include RRM requirements for correct A-IoT device behaviour during CBRA and CFRA. FFS the details</w:t>
            </w:r>
          </w:p>
          <w:p w14:paraId="15F8140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p w14:paraId="2F0BA8B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in RAN4 #115 meeting (R4-2508275)</w:t>
            </w:r>
          </w:p>
          <w:p w14:paraId="5E77DA25">
            <w:pPr>
              <w:snapToGrid w:val="0"/>
              <w:spacing w:after="120"/>
              <w:rPr>
                <w:rFonts w:hint="default" w:ascii="Times New Roman" w:hAnsi="Times New Roman" w:cs="Times New Roman"/>
                <w:b w:val="0"/>
                <w:bCs/>
                <w:sz w:val="20"/>
                <w:szCs w:val="20"/>
                <w:u w:val="single"/>
                <w:lang w:val="en-US" w:eastAsia="zh-CN"/>
              </w:rPr>
            </w:pPr>
            <w:r>
              <w:rPr>
                <w:rFonts w:hint="default" w:ascii="Times New Roman" w:hAnsi="Times New Roman" w:cs="Times New Roman"/>
                <w:b w:val="0"/>
                <w:bCs/>
                <w:sz w:val="20"/>
                <w:szCs w:val="20"/>
                <w:u w:val="single"/>
                <w:lang w:val="en-US" w:eastAsia="zh-CN"/>
              </w:rPr>
              <w:t>Issue 1-1: A-IoT random access procedure</w:t>
            </w:r>
          </w:p>
          <w:p w14:paraId="05378576">
            <w:pPr>
              <w:pStyle w:val="13"/>
              <w:snapToGrid w:val="0"/>
              <w:ind w:left="0" w:leftChars="0" w:firstLine="0" w:firstLineChars="0"/>
              <w:rPr>
                <w:rFonts w:hint="default" w:ascii="Times New Roman" w:hAnsi="Times New Roman" w:eastAsia="宋体" w:cs="Times New Roman"/>
                <w:sz w:val="20"/>
                <w:szCs w:val="20"/>
                <w:highlight w:val="green"/>
              </w:rPr>
            </w:pPr>
          </w:p>
          <w:p w14:paraId="74DAE8AF">
            <w:pPr>
              <w:pStyle w:val="13"/>
              <w:snapToGrid w:val="0"/>
              <w:ind w:left="0" w:leftChars="0" w:firstLine="0"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0AA34B07">
            <w:pPr>
              <w:numPr>
                <w:ilvl w:val="4"/>
                <w:numId w:val="4"/>
              </w:numPr>
              <w:autoSpaceDN w:val="0"/>
              <w:snapToGrid w:val="0"/>
              <w:spacing w:after="120"/>
              <w:ind w:leftChars="200"/>
              <w:rPr>
                <w:rFonts w:hint="default" w:ascii="Times New Roman" w:hAnsi="Times New Roman" w:eastAsia="宋体" w:cs="Times New Roman"/>
                <w:iCs/>
                <w:sz w:val="20"/>
                <w:szCs w:val="20"/>
                <w:highlight w:val="none"/>
              </w:rPr>
            </w:pPr>
            <w:r>
              <w:rPr>
                <w:rFonts w:hint="default" w:ascii="Times New Roman" w:hAnsi="Times New Roman" w:eastAsia="宋体" w:cs="Times New Roman"/>
                <w:iCs/>
                <w:sz w:val="20"/>
                <w:szCs w:val="20"/>
              </w:rPr>
              <w:t xml:space="preserve">RAN4 to include following aspects for RRM requirements for A-IoT random access. The </w:t>
            </w:r>
            <w:r>
              <w:rPr>
                <w:rFonts w:hint="default" w:ascii="Times New Roman" w:hAnsi="Times New Roman" w:eastAsia="宋体" w:cs="Times New Roman"/>
                <w:iCs/>
                <w:sz w:val="20"/>
                <w:szCs w:val="20"/>
                <w:highlight w:val="none"/>
              </w:rPr>
              <w:t>details of UE behaviour will be updated based on RAN2 spec.</w:t>
            </w:r>
          </w:p>
          <w:p w14:paraId="5F28EBDD">
            <w:pPr>
              <w:widowControl w:val="0"/>
              <w:numPr>
                <w:ilvl w:val="0"/>
                <w:numId w:val="5"/>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CBRA procedure</w:t>
            </w:r>
          </w:p>
          <w:p w14:paraId="3F8C8389">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the correct behaviour when transmitting A-IoT MSG1(Random ID transmission)</w:t>
            </w:r>
          </w:p>
          <w:p w14:paraId="2CC4BF5A">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the correct behaviour when receiving A-IoT MSG2</w:t>
            </w:r>
          </w:p>
          <w:p w14:paraId="167FE540">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the correct behaviour when not receiving A-IoT MSG2</w:t>
            </w:r>
          </w:p>
          <w:p w14:paraId="400E6E7E">
            <w:pPr>
              <w:widowControl w:val="0"/>
              <w:numPr>
                <w:ilvl w:val="0"/>
                <w:numId w:val="5"/>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CFRA procedure</w:t>
            </w:r>
          </w:p>
          <w:p w14:paraId="3C21361F">
            <w:pPr>
              <w:widowControl w:val="0"/>
              <w:numPr>
                <w:ilvl w:val="0"/>
                <w:numId w:val="6"/>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 correct behaviour when transmitting First D2R message</w:t>
            </w:r>
          </w:p>
          <w:p w14:paraId="04DEDDFE">
            <w:pPr>
              <w:rPr>
                <w:rFonts w:hint="default" w:ascii="Times New Roman" w:hAnsi="Times New Roman" w:cs="Times New Roman"/>
                <w:b/>
                <w:color w:val="0070C0"/>
                <w:sz w:val="20"/>
                <w:szCs w:val="20"/>
                <w:u w:val="single"/>
              </w:rPr>
            </w:pPr>
          </w:p>
          <w:p w14:paraId="45E2690A">
            <w:pPr>
              <w:snapToGrid w:val="0"/>
              <w:spacing w:after="120"/>
              <w:rPr>
                <w:rFonts w:hint="default" w:ascii="Times New Roman" w:hAnsi="Times New Roman" w:cs="Times New Roman"/>
                <w:b w:val="0"/>
                <w:bCs/>
                <w:sz w:val="20"/>
                <w:szCs w:val="20"/>
                <w:u w:val="single"/>
                <w:lang w:val="en-US" w:eastAsia="zh-CN"/>
              </w:rPr>
            </w:pPr>
            <w:r>
              <w:rPr>
                <w:rFonts w:hint="default" w:ascii="Times New Roman" w:hAnsi="Times New Roman" w:cs="Times New Roman"/>
                <w:b w:val="0"/>
                <w:bCs/>
                <w:sz w:val="20"/>
                <w:szCs w:val="20"/>
                <w:u w:val="single"/>
                <w:lang w:val="en-US" w:eastAsia="zh-CN"/>
              </w:rPr>
              <w:t>Issue 1-2-1: Device transmit timing</w:t>
            </w:r>
          </w:p>
          <w:p w14:paraId="78100C54">
            <w:pPr>
              <w:rPr>
                <w:rFonts w:hint="default" w:ascii="Times New Roman" w:hAnsi="Times New Roman" w:cs="Times New Roman"/>
                <w:b/>
                <w:color w:val="0070C0"/>
                <w:sz w:val="20"/>
                <w:szCs w:val="20"/>
                <w:u w:val="single"/>
              </w:rPr>
            </w:pPr>
          </w:p>
          <w:p w14:paraId="6618BA35">
            <w:pPr>
              <w:pStyle w:val="13"/>
              <w:snapToGrid w:val="0"/>
              <w:ind w:left="0" w:leftChars="0" w:firstLine="0"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3198987F">
            <w:pPr>
              <w:rPr>
                <w:rFonts w:hint="default" w:ascii="Times New Roman" w:hAnsi="Times New Roman" w:cs="Times New Roman"/>
                <w:b/>
                <w:color w:val="0070C0"/>
                <w:sz w:val="20"/>
                <w:szCs w:val="20"/>
                <w:u w:val="single"/>
              </w:rPr>
            </w:pPr>
          </w:p>
          <w:p w14:paraId="0F760270">
            <w:pPr>
              <w:numPr>
                <w:ilvl w:val="0"/>
                <w:numId w:val="7"/>
              </w:numPr>
              <w:overflowPunct/>
              <w:autoSpaceDE/>
              <w:autoSpaceDN/>
              <w:adjustRightInd/>
              <w:snapToGrid w:val="0"/>
              <w:spacing w:after="120"/>
              <w:ind w:left="420" w:leftChars="0" w:hanging="420" w:firstLineChars="0"/>
              <w:rPr>
                <w:rFonts w:hint="default" w:ascii="Times New Roman" w:hAnsi="Times New Roman" w:eastAsia="宋体" w:cs="Times New Roman"/>
                <w:bCs/>
                <w:sz w:val="20"/>
                <w:szCs w:val="20"/>
                <w:highlight w:val="none"/>
                <w:lang w:val="en-US"/>
              </w:rPr>
            </w:pPr>
            <w:r>
              <w:rPr>
                <w:rFonts w:hint="default" w:ascii="Times New Roman" w:hAnsi="Times New Roman" w:eastAsia="宋体" w:cs="Times New Roman"/>
                <w:bCs/>
                <w:sz w:val="20"/>
                <w:szCs w:val="20"/>
                <w:highlight w:val="none"/>
                <w:lang w:val="en-US"/>
              </w:rPr>
              <w:t>RAN4 define D2R transmit timing requirements.</w:t>
            </w:r>
          </w:p>
          <w:p w14:paraId="1287B29A">
            <w:pPr>
              <w:numPr>
                <w:ilvl w:val="0"/>
                <w:numId w:val="7"/>
              </w:numPr>
              <w:tabs>
                <w:tab w:val="left" w:pos="-420"/>
              </w:tabs>
              <w:snapToGrid w:val="0"/>
              <w:ind w:left="420" w:leftChars="0" w:hanging="420" w:firstLineChars="0"/>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Define </w:t>
            </w:r>
            <w:r>
              <w:rPr>
                <w:rFonts w:hint="default" w:ascii="Times New Roman" w:hAnsi="Times New Roman" w:eastAsia="宋体" w:cs="Times New Roman"/>
                <w:bCs/>
                <w:sz w:val="20"/>
                <w:szCs w:val="20"/>
                <w:highlight w:val="none"/>
                <w:lang w:val="en-US"/>
              </w:rPr>
              <w:t xml:space="preserve">D2R transmit </w:t>
            </w:r>
            <w:r>
              <w:rPr>
                <w:rFonts w:hint="default" w:ascii="Times New Roman" w:hAnsi="Times New Roman" w:cs="Times New Roman"/>
                <w:sz w:val="20"/>
                <w:szCs w:val="20"/>
                <w:highlight w:val="none"/>
                <w:lang w:val="en-US"/>
              </w:rPr>
              <w:t>timing error requirements as follows:</w:t>
            </w:r>
          </w:p>
          <w:p w14:paraId="016A267E">
            <w:pPr>
              <w:pStyle w:val="13"/>
              <w:numPr>
                <w:ilvl w:val="0"/>
                <w:numId w:val="8"/>
              </w:numPr>
              <w:tabs>
                <w:tab w:val="left" w:pos="-420"/>
                <w:tab w:val="clear" w:pos="420"/>
              </w:tabs>
              <w:snapToGrid w:val="0"/>
              <w:ind w:left="840" w:leftChars="0" w:hanging="420" w:firstLineChars="0"/>
              <w:textAlignment w:val="baseline"/>
              <w:rPr>
                <w:rFonts w:hint="default" w:ascii="Times New Roman" w:hAnsi="Times New Roman" w:eastAsia="宋体" w:cs="Times New Roman"/>
                <w:bCs/>
                <w:sz w:val="20"/>
                <w:szCs w:val="20"/>
                <w:highlight w:val="none"/>
              </w:rPr>
            </w:pPr>
            <w:r>
              <w:rPr>
                <w:rFonts w:hint="default" w:ascii="Times New Roman" w:hAnsi="Times New Roman" w:cs="Times New Roman"/>
                <w:sz w:val="20"/>
                <w:szCs w:val="20"/>
                <w:highlight w:val="none"/>
              </w:rPr>
              <w:t>For MSG1 X=1,</w:t>
            </w:r>
          </w:p>
          <w:p w14:paraId="74058F3E">
            <w:pPr>
              <w:pStyle w:val="13"/>
              <w:numPr>
                <w:ilvl w:val="0"/>
                <w:numId w:val="9"/>
              </w:numPr>
              <w:tabs>
                <w:tab w:val="clear" w:pos="840"/>
              </w:tabs>
              <w:snapToGrid w:val="0"/>
              <w:ind w:left="126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reference point for the device transmission timing is T</w:t>
            </w:r>
            <w:r>
              <w:rPr>
                <w:rFonts w:hint="default" w:ascii="Times New Roman" w:hAnsi="Times New Roman" w:cs="Times New Roman"/>
                <w:sz w:val="20"/>
                <w:szCs w:val="20"/>
                <w:highlight w:val="none"/>
                <w:vertAlign w:val="subscript"/>
              </w:rPr>
              <w:t>offset1</w:t>
            </w:r>
            <w:r>
              <w:rPr>
                <w:rFonts w:hint="default" w:ascii="Times New Roman" w:hAnsi="Times New Roman" w:cs="Times New Roman"/>
                <w:sz w:val="20"/>
                <w:szCs w:val="20"/>
                <w:highlight w:val="none"/>
              </w:rPr>
              <w:t xml:space="preserve"> after the end of corresponding R2D transmission as define in TS 38.219. The device transmission timing error shall be less than or equal to Te. The value of Te is equal to 10%*T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where 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xml:space="preserve"> is the length in microseconds from the last edge of the corresponding R2D transmission to the starting time of MSG1.</w:t>
            </w:r>
          </w:p>
          <w:p w14:paraId="32262C9A">
            <w:pPr>
              <w:pStyle w:val="13"/>
              <w:numPr>
                <w:ilvl w:val="0"/>
                <w:numId w:val="8"/>
              </w:numPr>
              <w:tabs>
                <w:tab w:val="left" w:pos="-420"/>
                <w:tab w:val="clear" w:pos="420"/>
              </w:tabs>
              <w:snapToGrid w:val="0"/>
              <w:ind w:left="840" w:leftChars="0" w:hanging="420" w:firstLineChars="0"/>
              <w:textAlignment w:val="baseline"/>
              <w:rPr>
                <w:rFonts w:hint="default" w:ascii="Times New Roman" w:hAnsi="Times New Roman" w:eastAsia="宋体" w:cs="Times New Roman"/>
                <w:bCs/>
                <w:sz w:val="20"/>
                <w:szCs w:val="20"/>
                <w:highlight w:val="none"/>
              </w:rPr>
            </w:pPr>
            <w:r>
              <w:rPr>
                <w:rFonts w:hint="default" w:ascii="Times New Roman" w:hAnsi="Times New Roman" w:cs="Times New Roman"/>
                <w:sz w:val="20"/>
                <w:szCs w:val="20"/>
                <w:highlight w:val="none"/>
              </w:rPr>
              <w:t>For MSG1 X=2, follow the same principle as starting point.</w:t>
            </w:r>
          </w:p>
          <w:p w14:paraId="1963D18E">
            <w:pPr>
              <w:pStyle w:val="13"/>
              <w:numPr>
                <w:ilvl w:val="0"/>
                <w:numId w:val="8"/>
              </w:numPr>
              <w:tabs>
                <w:tab w:val="clear" w:pos="420"/>
              </w:tabs>
              <w:snapToGrid w:val="0"/>
              <w:ind w:left="84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Note 1: The timing error requirements for other D2R could be updated accordingly based on further RAN1 agreements.</w:t>
            </w:r>
          </w:p>
          <w:p w14:paraId="3C46B645">
            <w:pPr>
              <w:pStyle w:val="13"/>
              <w:numPr>
                <w:ilvl w:val="0"/>
                <w:numId w:val="8"/>
              </w:numPr>
              <w:tabs>
                <w:tab w:val="clear" w:pos="420"/>
              </w:tabs>
              <w:snapToGrid w:val="0"/>
              <w:ind w:left="84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Note 2: The end of the R2D transmission and last edge could be updated based on further RAN1 agreements if any.</w:t>
            </w:r>
          </w:p>
          <w:p w14:paraId="70CF046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EE88A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CA2747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iCs/>
          <w:sz w:val="20"/>
          <w:szCs w:val="20"/>
          <w:lang w:val="en-US" w:eastAsia="zh-CN"/>
        </w:rPr>
      </w:pPr>
      <w:r>
        <w:rPr>
          <w:rFonts w:hint="eastAsia" w:ascii="Times New Roman" w:hAnsi="Times New Roman"/>
          <w:sz w:val="20"/>
          <w:szCs w:val="20"/>
          <w:lang w:val="en-US" w:eastAsia="zh-CN"/>
        </w:rPr>
        <w:t xml:space="preserve">It can be seen the </w:t>
      </w:r>
      <w:r>
        <w:rPr>
          <w:rFonts w:hint="default" w:ascii="Times New Roman" w:hAnsi="Times New Roman" w:eastAsia="宋体" w:cs="Times New Roman"/>
          <w:iCs/>
          <w:sz w:val="20"/>
          <w:szCs w:val="20"/>
          <w:lang w:val="en-US" w:eastAsia="zh-CN"/>
        </w:rPr>
        <w:t>RRM requirements for correct A-IoT device behaviour during CBRA and CFRA</w:t>
      </w:r>
      <w:r>
        <w:rPr>
          <w:rFonts w:hint="eastAsia" w:ascii="Times New Roman" w:hAnsi="Times New Roman" w:cs="Times New Roman"/>
          <w:iCs/>
          <w:sz w:val="20"/>
          <w:szCs w:val="20"/>
          <w:lang w:val="en-US" w:eastAsia="zh-CN"/>
        </w:rPr>
        <w:t>, and requirements for device transmit timing are defined. It is necessary to define tests for these two cases.</w:t>
      </w:r>
    </w:p>
    <w:p w14:paraId="4DCD1E6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Proposal 1: it is proposed to define tests for following cases:</w:t>
      </w:r>
    </w:p>
    <w:p w14:paraId="730969D0">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C</w:t>
      </w:r>
      <w:r>
        <w:rPr>
          <w:rFonts w:hint="default" w:ascii="Times New Roman" w:hAnsi="Times New Roman" w:eastAsia="宋体" w:cs="Times New Roman"/>
          <w:b/>
          <w:bCs/>
          <w:i/>
          <w:iCs w:val="0"/>
          <w:sz w:val="20"/>
          <w:szCs w:val="20"/>
          <w:lang w:val="en-US" w:eastAsia="zh-CN"/>
        </w:rPr>
        <w:t>orrect A-IoT device behaviour during CBRA and CFRA</w:t>
      </w:r>
    </w:p>
    <w:p w14:paraId="23707BDA">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val="0"/>
          <w:sz w:val="20"/>
          <w:szCs w:val="20"/>
          <w:lang w:val="en-US" w:eastAsia="zh-CN"/>
        </w:rPr>
      </w:pPr>
      <w:r>
        <w:rPr>
          <w:rFonts w:hint="eastAsia" w:ascii="Times New Roman" w:hAnsi="Times New Roman" w:cs="Times New Roman"/>
          <w:b/>
          <w:bCs/>
          <w:i/>
          <w:iCs w:val="0"/>
          <w:sz w:val="20"/>
          <w:szCs w:val="20"/>
          <w:lang w:val="en-US" w:eastAsia="zh-CN"/>
        </w:rPr>
        <w:t>Device transmit timing</w:t>
      </w:r>
    </w:p>
    <w:p w14:paraId="2FB85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legacy UE transmit timing test, the transmit timing is verified by the UE transmitting SRS. After connection set up with the cell, the test equipment will verify that the timing of the NR cell is within (N</w:t>
      </w:r>
      <w:r>
        <w:rPr>
          <w:rFonts w:hint="eastAsia" w:ascii="Times New Roman" w:hAnsi="Times New Roman"/>
          <w:sz w:val="20"/>
          <w:szCs w:val="20"/>
          <w:vertAlign w:val="subscript"/>
          <w:lang w:val="en-US" w:eastAsia="zh-CN"/>
        </w:rPr>
        <w:t>TA</w:t>
      </w:r>
      <w:r>
        <w:rPr>
          <w:rFonts w:hint="eastAsia" w:ascii="Times New Roman" w:hAnsi="Times New Roman"/>
          <w:sz w:val="20"/>
          <w:szCs w:val="20"/>
          <w:lang w:val="en-US" w:eastAsia="zh-CN"/>
        </w:rPr>
        <w:t xml:space="preserve"> + N</w:t>
      </w:r>
      <w:r>
        <w:rPr>
          <w:rFonts w:hint="eastAsia" w:ascii="Times New Roman" w:hAnsi="Times New Roman"/>
          <w:sz w:val="20"/>
          <w:szCs w:val="20"/>
          <w:vertAlign w:val="subscript"/>
          <w:lang w:val="en-US" w:eastAsia="zh-CN"/>
        </w:rPr>
        <w:t>TA_offset</w:t>
      </w:r>
      <w:r>
        <w:rPr>
          <w:rFonts w:hint="eastAsia" w:ascii="Times New Roman" w:hAnsi="Times New Roman"/>
          <w:sz w:val="20"/>
          <w:szCs w:val="20"/>
          <w:lang w:val="en-US" w:eastAsia="zh-CN"/>
        </w:rPr>
        <w:t>) ×T</w:t>
      </w:r>
      <w:r>
        <w:rPr>
          <w:rFonts w:hint="eastAsia" w:ascii="Times New Roman" w:hAnsi="Times New Roman"/>
          <w:sz w:val="20"/>
          <w:szCs w:val="20"/>
          <w:vertAlign w:val="subscript"/>
          <w:lang w:val="en-US" w:eastAsia="zh-CN"/>
        </w:rPr>
        <w:t>c</w:t>
      </w:r>
      <w:r>
        <w:rPr>
          <w:rFonts w:hint="eastAsia" w:ascii="Times New Roman" w:hAnsi="Times New Roman"/>
          <w:sz w:val="20"/>
          <w:szCs w:val="20"/>
          <w:lang w:val="en-US" w:eastAsia="zh-CN"/>
        </w:rPr>
        <w:t xml:space="preserve"> ± T</w:t>
      </w:r>
      <w:r>
        <w:rPr>
          <w:rFonts w:hint="eastAsia" w:ascii="Times New Roman" w:hAnsi="Times New Roman"/>
          <w:sz w:val="20"/>
          <w:szCs w:val="20"/>
          <w:vertAlign w:val="subscript"/>
          <w:lang w:val="en-US" w:eastAsia="zh-CN"/>
        </w:rPr>
        <w:t>e</w:t>
      </w:r>
      <w:r>
        <w:rPr>
          <w:rFonts w:hint="eastAsia" w:ascii="Times New Roman" w:hAnsi="Times New Roman"/>
          <w:sz w:val="20"/>
          <w:szCs w:val="20"/>
          <w:lang w:val="en-US" w:eastAsia="zh-CN"/>
        </w:rPr>
        <w:t xml:space="preserve"> of the first detected path of DL SSB. Similarly, for A-IoT, the transmit timing is verified by device D2R transmission. Taking RACH as an example, the test equipment will verify that the timing of the device is within  a period, e.g.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offset1</w:t>
      </w:r>
      <w:r>
        <w:rPr>
          <w:rFonts w:hint="eastAsia" w:ascii="Times New Roman" w:hAnsi="Times New Roman"/>
          <w:sz w:val="20"/>
          <w:szCs w:val="20"/>
          <w:lang w:val="en-US" w:eastAsia="zh-CN"/>
        </w:rPr>
        <w:t xml:space="preserve"> ± T</w:t>
      </w:r>
      <w:r>
        <w:rPr>
          <w:rFonts w:hint="eastAsia" w:ascii="Times New Roman" w:hAnsi="Times New Roman"/>
          <w:sz w:val="20"/>
          <w:szCs w:val="20"/>
          <w:vertAlign w:val="subscript"/>
          <w:lang w:val="en-US" w:eastAsia="zh-CN"/>
        </w:rPr>
        <w:t>e_</w:t>
      </w:r>
      <w:r>
        <w:rPr>
          <w:rFonts w:hint="eastAsia" w:ascii="Times New Roman" w:hAnsi="Times New Roman"/>
          <w:sz w:val="20"/>
          <w:szCs w:val="20"/>
          <w:vertAlign w:val="baseline"/>
          <w:lang w:val="en-US" w:eastAsia="zh-CN"/>
        </w:rPr>
        <w:t xml:space="preserve">SFO), </w:t>
      </w:r>
      <w:r>
        <w:rPr>
          <w:rFonts w:hint="eastAsia" w:ascii="Times New Roman" w:hAnsi="Times New Roman"/>
          <w:sz w:val="20"/>
          <w:szCs w:val="20"/>
          <w:lang w:val="en-US" w:eastAsia="zh-CN"/>
        </w:rPr>
        <w:t xml:space="preserve"> of </w:t>
      </w:r>
      <w:r>
        <w:rPr>
          <w:rFonts w:hint="default" w:ascii="Times New Roman" w:hAnsi="Times New Roman" w:cs="Times New Roman"/>
          <w:bCs/>
          <w:sz w:val="20"/>
          <w:szCs w:val="20"/>
          <w:lang w:val="en-US" w:eastAsia="zh-CN"/>
        </w:rPr>
        <w:t xml:space="preserve">the </w:t>
      </w:r>
      <w:r>
        <w:rPr>
          <w:rFonts w:hint="eastAsia" w:ascii="Times New Roman" w:hAnsi="Times New Roman" w:cs="Times New Roman"/>
          <w:bCs/>
          <w:sz w:val="20"/>
          <w:szCs w:val="20"/>
          <w:lang w:val="en-US" w:eastAsia="zh-CN"/>
        </w:rPr>
        <w:t xml:space="preserve">end the corresponding </w:t>
      </w:r>
      <w:r>
        <w:rPr>
          <w:rFonts w:hint="default" w:ascii="Times New Roman" w:hAnsi="Times New Roman" w:cs="Times New Roman"/>
          <w:bCs/>
          <w:sz w:val="20"/>
          <w:szCs w:val="20"/>
          <w:lang w:val="en-US" w:eastAsia="zh-CN"/>
        </w:rPr>
        <w:t>R2D transmission triggering</w:t>
      </w:r>
      <w:r>
        <w:rPr>
          <w:rFonts w:hint="eastAsia"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eastAsia="zh-CN"/>
        </w:rPr>
        <w:t>random access</w:t>
      </w:r>
      <w:r>
        <w:rPr>
          <w:rFonts w:hint="eastAsia" w:ascii="Times New Roman" w:hAnsi="Times New Roman"/>
          <w:sz w:val="20"/>
          <w:szCs w:val="20"/>
          <w:lang w:val="en-US" w:eastAsia="zh-CN"/>
        </w:rPr>
        <w:t xml:space="preserve">.  </w:t>
      </w:r>
    </w:p>
    <w:p w14:paraId="091E7F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For RACH, the transmit timing is verified by the device D2R transmission, and the test equipment will verify that the timing of the device is within a period of </w:t>
      </w:r>
      <w:r>
        <w:rPr>
          <w:rFonts w:hint="default" w:ascii="Times New Roman" w:hAnsi="Times New Roman"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 xml:space="preserve">end the corresponding </w:t>
      </w:r>
      <w:r>
        <w:rPr>
          <w:rFonts w:hint="default" w:ascii="Times New Roman" w:hAnsi="Times New Roman" w:cs="Times New Roman"/>
          <w:b/>
          <w:bCs/>
          <w:i/>
          <w:iCs/>
          <w:sz w:val="20"/>
          <w:szCs w:val="20"/>
          <w:lang w:val="en-US" w:eastAsia="zh-CN"/>
        </w:rPr>
        <w:t>R2D transmission triggering</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random access</w:t>
      </w:r>
      <w:r>
        <w:rPr>
          <w:rFonts w:hint="eastAsia" w:ascii="Times New Roman" w:hAnsi="Times New Roman" w:cs="Times New Roman"/>
          <w:b/>
          <w:bCs/>
          <w:i/>
          <w:iCs/>
          <w:sz w:val="20"/>
          <w:szCs w:val="20"/>
          <w:lang w:val="en-US" w:eastAsia="zh-CN"/>
        </w:rPr>
        <w:t xml:space="preserve">, where the period is related with </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offset1</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w:t>
      </w:r>
      <w:r>
        <w:rPr>
          <w:rFonts w:hint="eastAsia" w:ascii="Times New Roman" w:hAnsi="Times New Roman" w:cs="Times New Roman"/>
          <w:b/>
          <w:bCs/>
          <w:i/>
          <w:iCs/>
          <w:sz w:val="20"/>
          <w:szCs w:val="20"/>
          <w:vertAlign w:val="subscript"/>
          <w:lang w:val="en-US" w:eastAsia="zh-CN"/>
        </w:rPr>
        <w:t>2</w:t>
      </w:r>
      <w:r>
        <w:rPr>
          <w:rFonts w:hint="eastAsia" w:ascii="Times New Roman" w:hAnsi="Times New Roman" w:cs="Times New Roman"/>
          <w:b/>
          <w:bCs/>
          <w:i/>
          <w:iCs/>
          <w:sz w:val="20"/>
          <w:szCs w:val="20"/>
          <w:vertAlign w:val="baseline"/>
          <w:lang w:val="en-US" w:eastAsia="zh-CN"/>
        </w:rPr>
        <w:t>/</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w:t>
      </w:r>
      <w:r>
        <w:rPr>
          <w:rFonts w:hint="eastAsia" w:ascii="Times New Roman" w:hAnsi="Times New Roman" w:cs="Times New Roman"/>
          <w:b/>
          <w:bCs/>
          <w:i/>
          <w:iCs/>
          <w:sz w:val="20"/>
          <w:szCs w:val="20"/>
          <w:vertAlign w:val="subscript"/>
          <w:lang w:val="en-US" w:eastAsia="zh-CN"/>
        </w:rPr>
        <w:t>3</w:t>
      </w:r>
      <w:r>
        <w:rPr>
          <w:rFonts w:hint="eastAsia" w:ascii="Times New Roman" w:hAnsi="Times New Roman" w:cs="Times New Roman"/>
          <w:b/>
          <w:bCs/>
          <w:i/>
          <w:iCs/>
          <w:sz w:val="20"/>
          <w:szCs w:val="20"/>
          <w:vertAlign w:val="baseline"/>
          <w:lang w:val="en-US" w:eastAsia="zh-CN"/>
        </w:rPr>
        <w:t>/</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w:t>
      </w:r>
      <w:r>
        <w:rPr>
          <w:rFonts w:hint="eastAsia" w:ascii="Times New Roman" w:hAnsi="Times New Roman" w:cs="Times New Roman"/>
          <w:b/>
          <w:bCs/>
          <w:i/>
          <w:iCs/>
          <w:sz w:val="20"/>
          <w:szCs w:val="20"/>
          <w:vertAlign w:val="subscript"/>
          <w:lang w:val="en-US" w:eastAsia="zh-CN"/>
        </w:rPr>
        <w:t xml:space="preserve">4 </w:t>
      </w:r>
      <w:r>
        <w:rPr>
          <w:rFonts w:hint="eastAsia" w:ascii="Times New Roman" w:hAnsi="Times New Roman" w:cs="Times New Roman"/>
          <w:b/>
          <w:bCs/>
          <w:i/>
          <w:iCs/>
          <w:sz w:val="20"/>
          <w:szCs w:val="20"/>
          <w:vertAlign w:val="baseline"/>
          <w:lang w:val="en-US" w:eastAsia="zh-CN"/>
        </w:rPr>
        <w:t>and timing error due to SFO</w:t>
      </w:r>
      <w:r>
        <w:rPr>
          <w:rFonts w:hint="eastAsia" w:ascii="Times New Roman" w:hAnsi="Times New Roman"/>
          <w:b/>
          <w:bCs/>
          <w:i/>
          <w:iCs/>
          <w:sz w:val="20"/>
          <w:szCs w:val="20"/>
          <w:lang w:val="en-US" w:eastAsia="zh-CN"/>
        </w:rPr>
        <w:t>.</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requirements for A-IoT</w:t>
      </w:r>
      <w:r>
        <w:rPr>
          <w:rFonts w:hint="eastAsia" w:ascii="Times New Roman" w:hAnsi="Times New Roman"/>
          <w:sz w:val="20"/>
          <w:szCs w:val="20"/>
          <w:highlight w:val="none"/>
        </w:rPr>
        <w:t>. The proposals are:</w:t>
      </w:r>
    </w:p>
    <w:p w14:paraId="5423209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Proposal 1: it is proposed to define tests for following cases:</w:t>
      </w:r>
    </w:p>
    <w:p w14:paraId="420CF850">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C</w:t>
      </w:r>
      <w:r>
        <w:rPr>
          <w:rFonts w:hint="default" w:ascii="Times New Roman" w:hAnsi="Times New Roman" w:eastAsia="宋体" w:cs="Times New Roman"/>
          <w:b/>
          <w:bCs/>
          <w:i/>
          <w:iCs w:val="0"/>
          <w:sz w:val="20"/>
          <w:szCs w:val="20"/>
          <w:lang w:val="en-US" w:eastAsia="zh-CN"/>
        </w:rPr>
        <w:t>orrect A-IoT device behaviour during CBRA and CFRA</w:t>
      </w:r>
    </w:p>
    <w:p w14:paraId="5469702D">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val="0"/>
          <w:sz w:val="20"/>
          <w:szCs w:val="20"/>
          <w:lang w:val="en-US" w:eastAsia="zh-CN"/>
        </w:rPr>
      </w:pPr>
      <w:r>
        <w:rPr>
          <w:rFonts w:hint="eastAsia" w:ascii="Times New Roman" w:hAnsi="Times New Roman" w:cs="Times New Roman"/>
          <w:b/>
          <w:bCs/>
          <w:i/>
          <w:iCs w:val="0"/>
          <w:sz w:val="20"/>
          <w:szCs w:val="20"/>
          <w:lang w:val="en-US" w:eastAsia="zh-CN"/>
        </w:rPr>
        <w:t>Device transmit timing</w:t>
      </w:r>
    </w:p>
    <w:p w14:paraId="107C54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2: For RACH, the transmit timing is verified by the device D2R transmission, and the test equipment will verify that the timing of the device is within a period of </w:t>
      </w:r>
      <w:r>
        <w:rPr>
          <w:rFonts w:hint="default" w:ascii="Times New Roman" w:hAnsi="Times New Roman"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 xml:space="preserve">end the corresponding </w:t>
      </w:r>
      <w:r>
        <w:rPr>
          <w:rFonts w:hint="default" w:ascii="Times New Roman" w:hAnsi="Times New Roman" w:cs="Times New Roman"/>
          <w:b/>
          <w:bCs/>
          <w:i/>
          <w:iCs/>
          <w:sz w:val="20"/>
          <w:szCs w:val="20"/>
          <w:lang w:val="en-US" w:eastAsia="zh-CN"/>
        </w:rPr>
        <w:t>R2D transmission triggering</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random access</w:t>
      </w:r>
      <w:r>
        <w:rPr>
          <w:rFonts w:hint="eastAsia" w:ascii="Times New Roman" w:hAnsi="Times New Roman" w:cs="Times New Roman"/>
          <w:b/>
          <w:bCs/>
          <w:i/>
          <w:iCs/>
          <w:sz w:val="20"/>
          <w:szCs w:val="20"/>
          <w:lang w:val="en-US" w:eastAsia="zh-CN"/>
        </w:rPr>
        <w:t xml:space="preserve">, where the period is related with </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offset1</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w:t>
      </w:r>
      <w:r>
        <w:rPr>
          <w:rFonts w:hint="eastAsia" w:ascii="Times New Roman" w:hAnsi="Times New Roman" w:cs="Times New Roman"/>
          <w:b/>
          <w:bCs/>
          <w:i/>
          <w:iCs/>
          <w:sz w:val="20"/>
          <w:szCs w:val="20"/>
          <w:vertAlign w:val="subscript"/>
          <w:lang w:val="en-US" w:eastAsia="zh-CN"/>
        </w:rPr>
        <w:t>2</w:t>
      </w:r>
      <w:r>
        <w:rPr>
          <w:rFonts w:hint="eastAsia" w:ascii="Times New Roman" w:hAnsi="Times New Roman" w:cs="Times New Roman"/>
          <w:b/>
          <w:bCs/>
          <w:i/>
          <w:iCs/>
          <w:sz w:val="20"/>
          <w:szCs w:val="20"/>
          <w:vertAlign w:val="baseline"/>
          <w:lang w:val="en-US" w:eastAsia="zh-CN"/>
        </w:rPr>
        <w:t>/</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w:t>
      </w:r>
      <w:r>
        <w:rPr>
          <w:rFonts w:hint="eastAsia" w:ascii="Times New Roman" w:hAnsi="Times New Roman" w:cs="Times New Roman"/>
          <w:b/>
          <w:bCs/>
          <w:i/>
          <w:iCs/>
          <w:sz w:val="20"/>
          <w:szCs w:val="20"/>
          <w:vertAlign w:val="subscript"/>
          <w:lang w:val="en-US" w:eastAsia="zh-CN"/>
        </w:rPr>
        <w:t>3</w:t>
      </w:r>
      <w:r>
        <w:rPr>
          <w:rFonts w:hint="eastAsia" w:ascii="Times New Roman" w:hAnsi="Times New Roman" w:cs="Times New Roman"/>
          <w:b/>
          <w:bCs/>
          <w:i/>
          <w:iCs/>
          <w:sz w:val="20"/>
          <w:szCs w:val="20"/>
          <w:vertAlign w:val="baseline"/>
          <w:lang w:val="en-US" w:eastAsia="zh-CN"/>
        </w:rPr>
        <w:t>/</w:t>
      </w: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offset</w:t>
      </w:r>
      <w:r>
        <w:rPr>
          <w:rFonts w:hint="eastAsia" w:ascii="Times New Roman" w:hAnsi="Times New Roman" w:cs="Times New Roman"/>
          <w:b/>
          <w:bCs/>
          <w:i/>
          <w:iCs/>
          <w:sz w:val="20"/>
          <w:szCs w:val="20"/>
          <w:vertAlign w:val="subscript"/>
          <w:lang w:val="en-US" w:eastAsia="zh-CN"/>
        </w:rPr>
        <w:t xml:space="preserve">4 </w:t>
      </w:r>
      <w:r>
        <w:rPr>
          <w:rFonts w:hint="eastAsia" w:ascii="Times New Roman" w:hAnsi="Times New Roman" w:cs="Times New Roman"/>
          <w:b/>
          <w:bCs/>
          <w:i/>
          <w:iCs/>
          <w:sz w:val="20"/>
          <w:szCs w:val="20"/>
          <w:vertAlign w:val="baseline"/>
          <w:lang w:val="en-US" w:eastAsia="zh-CN"/>
        </w:rPr>
        <w:t>and timing error due to SFO</w:t>
      </w:r>
      <w:r>
        <w:rPr>
          <w:rFonts w:hint="eastAsia" w:ascii="Times New Roman" w:hAnsi="Times New Roman"/>
          <w:b/>
          <w:bCs/>
          <w:i/>
          <w:iCs/>
          <w:sz w:val="20"/>
          <w:szCs w:val="20"/>
          <w:lang w:val="en-US" w:eastAsia="zh-CN"/>
        </w:rPr>
        <w:t>.</w:t>
      </w: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4"/>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50796</w:t>
      </w:r>
      <w:r>
        <w:rPr>
          <w:rFonts w:ascii="Times" w:hAnsi="Times" w:eastAsia="宋体"/>
          <w:b w:val="0"/>
          <w:sz w:val="20"/>
          <w:lang w:eastAsia="zh-CN"/>
        </w:rPr>
        <w:t xml:space="preserve">, </w:t>
      </w:r>
      <w:r>
        <w:rPr>
          <w:rFonts w:hint="eastAsia" w:ascii="Times" w:hAnsi="Times" w:eastAsia="宋体"/>
          <w:b w:val="0"/>
          <w:sz w:val="20"/>
          <w:lang w:eastAsia="zh-CN"/>
        </w:rPr>
        <w:t>Revised WID: New Work Item: Solutions for Ambient IoT (Internet of Things) in NR</w:t>
      </w:r>
      <w:r>
        <w:rPr>
          <w:rFonts w:hint="eastAsia" w:ascii="Times" w:hAnsi="Times" w:eastAsia="宋体"/>
          <w:b w:val="0"/>
          <w:sz w:val="20"/>
          <w:lang w:val="en-US" w:eastAsia="zh-CN"/>
        </w:rPr>
        <w:t>, CMCC, Huawei, T-Mobile USA Inc</w:t>
      </w:r>
    </w:p>
    <w:p w14:paraId="3CED6062">
      <w:pPr>
        <w:pStyle w:val="14"/>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Ambient_IoT_Solutions</w:t>
      </w:r>
      <w:r>
        <w:rPr>
          <w:rFonts w:hint="eastAsia" w:ascii="Times" w:hAnsi="Times" w:eastAsia="宋体"/>
          <w:b w:val="0"/>
          <w:sz w:val="20"/>
          <w:lang w:val="en-US" w:eastAsia="zh-CN"/>
        </w:rPr>
        <w:t>, CMCC</w:t>
      </w:r>
    </w:p>
    <w:p w14:paraId="2E8D8ED0">
      <w:pPr>
        <w:pStyle w:val="14"/>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Ambient_IoT_Solutions</w:t>
      </w:r>
      <w:r>
        <w:rPr>
          <w:rFonts w:hint="eastAsia" w:ascii="Times" w:hAnsi="Times" w:eastAsia="宋体"/>
          <w:b w:val="0"/>
          <w:sz w:val="20"/>
          <w:lang w:val="en-US" w:eastAsia="zh-CN"/>
        </w:rPr>
        <w:t>, CMCC</w:t>
      </w:r>
    </w:p>
    <w:p w14:paraId="24E42CB0">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4"/>
        <w:framePr w:wrap="auto" w:vAnchor="margin" w:hAnchor="text" w:yAlign="inline"/>
        <w:ind w:right="400"/>
        <w:jc w:val="both"/>
        <w:rPr>
          <w:rFonts w:ascii="Times" w:hAnsi="Times" w:eastAsia="宋体"/>
          <w:b w:val="0"/>
          <w:sz w:val="20"/>
          <w:lang w:eastAsia="zh-CN"/>
        </w:rPr>
      </w:pPr>
    </w:p>
    <w:p w14:paraId="0A523C19">
      <w:pPr>
        <w:pStyle w:val="14"/>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50DBD"/>
    <w:multiLevelType w:val="singleLevel"/>
    <w:tmpl w:val="81F50DBD"/>
    <w:lvl w:ilvl="0" w:tentative="0">
      <w:start w:val="1"/>
      <w:numFmt w:val="bullet"/>
      <w:lvlText w:val=""/>
      <w:lvlJc w:val="left"/>
      <w:pPr>
        <w:tabs>
          <w:tab w:val="left" w:pos="1260"/>
        </w:tabs>
        <w:ind w:left="1680" w:hanging="420"/>
      </w:pPr>
      <w:rPr>
        <w:rFonts w:hint="default" w:ascii="Wingdings" w:hAnsi="Wingdings"/>
      </w:rPr>
    </w:lvl>
  </w:abstractNum>
  <w:abstractNum w:abstractNumId="1">
    <w:nsid w:val="94F58E77"/>
    <w:multiLevelType w:val="multilevel"/>
    <w:tmpl w:val="94F58E7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A2EABA47"/>
    <w:multiLevelType w:val="singleLevel"/>
    <w:tmpl w:val="A2EABA47"/>
    <w:lvl w:ilvl="0" w:tentative="0">
      <w:start w:val="1"/>
      <w:numFmt w:val="bullet"/>
      <w:lvlText w:val=""/>
      <w:lvlJc w:val="left"/>
      <w:pPr>
        <w:ind w:left="420" w:hanging="420"/>
      </w:pPr>
      <w:rPr>
        <w:rFonts w:hint="default" w:ascii="Wingdings" w:hAnsi="Wingdings"/>
      </w:rPr>
    </w:lvl>
  </w:abstractNum>
  <w:abstractNum w:abstractNumId="3">
    <w:nsid w:val="F4814552"/>
    <w:multiLevelType w:val="multilevel"/>
    <w:tmpl w:val="F4814552"/>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4">
    <w:nsid w:val="03ADF07A"/>
    <w:multiLevelType w:val="singleLevel"/>
    <w:tmpl w:val="03ADF07A"/>
    <w:lvl w:ilvl="0" w:tentative="0">
      <w:start w:val="1"/>
      <w:numFmt w:val="bullet"/>
      <w:lvlText w:val=""/>
      <w:lvlJc w:val="left"/>
      <w:pPr>
        <w:tabs>
          <w:tab w:val="left" w:pos="840"/>
        </w:tabs>
        <w:ind w:left="1260" w:hanging="420"/>
      </w:pPr>
      <w:rPr>
        <w:rFonts w:hint="default" w:ascii="Wingdings" w:hAnsi="Wingdings"/>
      </w:rPr>
    </w:lvl>
  </w:abstractNum>
  <w:abstractNum w:abstractNumId="5">
    <w:nsid w:val="1E9EF811"/>
    <w:multiLevelType w:val="singleLevel"/>
    <w:tmpl w:val="1E9EF811"/>
    <w:lvl w:ilvl="0" w:tentative="0">
      <w:start w:val="1"/>
      <w:numFmt w:val="decimal"/>
      <w:suff w:val="space"/>
      <w:lvlText w:val="[%1]"/>
      <w:lvlJc w:val="left"/>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AE903A7"/>
    <w:multiLevelType w:val="singleLevel"/>
    <w:tmpl w:val="7AE903A7"/>
    <w:lvl w:ilvl="0" w:tentative="0">
      <w:start w:val="1"/>
      <w:numFmt w:val="bullet"/>
      <w:lvlText w:val=""/>
      <w:lvlJc w:val="left"/>
      <w:pPr>
        <w:ind w:left="420" w:hanging="420"/>
      </w:pPr>
      <w:rPr>
        <w:rFonts w:hint="default" w:ascii="Wingdings" w:hAnsi="Wingdings"/>
      </w:rPr>
    </w:lvl>
  </w:abstractNum>
  <w:num w:numId="1">
    <w:abstractNumId w:val="9"/>
  </w:num>
  <w:num w:numId="2">
    <w:abstractNumId w:val="6"/>
  </w:num>
  <w:num w:numId="3">
    <w:abstractNumId w:val="8"/>
  </w:num>
  <w:num w:numId="4">
    <w:abstractNumId w:val="7"/>
  </w:num>
  <w:num w:numId="5">
    <w:abstractNumId w:val="3"/>
  </w:num>
  <w:num w:numId="6">
    <w:abstractNumId w:val="0"/>
  </w:num>
  <w:num w:numId="7">
    <w:abstractNumId w:val="10"/>
  </w:num>
  <w:num w:numId="8">
    <w:abstractNumId w:val="1"/>
  </w:num>
  <w:num w:numId="9">
    <w:abstractNumId w:val="4"/>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3EA2651"/>
    <w:rsid w:val="067803E8"/>
    <w:rsid w:val="06A50B76"/>
    <w:rsid w:val="06BB2083"/>
    <w:rsid w:val="08375E63"/>
    <w:rsid w:val="08511850"/>
    <w:rsid w:val="08D72A91"/>
    <w:rsid w:val="0A7648BF"/>
    <w:rsid w:val="0A7A49BE"/>
    <w:rsid w:val="0A922065"/>
    <w:rsid w:val="0ACC294E"/>
    <w:rsid w:val="0BB44D87"/>
    <w:rsid w:val="0BED0F30"/>
    <w:rsid w:val="0CD8520D"/>
    <w:rsid w:val="0DD40EBD"/>
    <w:rsid w:val="0E367C5D"/>
    <w:rsid w:val="0EB9159E"/>
    <w:rsid w:val="11604C92"/>
    <w:rsid w:val="11D129C7"/>
    <w:rsid w:val="12236F4E"/>
    <w:rsid w:val="13057541"/>
    <w:rsid w:val="1364390A"/>
    <w:rsid w:val="137E5A09"/>
    <w:rsid w:val="19A91D8B"/>
    <w:rsid w:val="19CE05F3"/>
    <w:rsid w:val="1B65127F"/>
    <w:rsid w:val="1CB317C0"/>
    <w:rsid w:val="1F9F6471"/>
    <w:rsid w:val="1FCF11BE"/>
    <w:rsid w:val="20282B52"/>
    <w:rsid w:val="20372402"/>
    <w:rsid w:val="20814F9D"/>
    <w:rsid w:val="208805ED"/>
    <w:rsid w:val="20F766A2"/>
    <w:rsid w:val="22ED6B5D"/>
    <w:rsid w:val="25DF10AE"/>
    <w:rsid w:val="27DC69EE"/>
    <w:rsid w:val="29EC29E9"/>
    <w:rsid w:val="2A552882"/>
    <w:rsid w:val="2BD8717A"/>
    <w:rsid w:val="2C7F23A1"/>
    <w:rsid w:val="2CB20162"/>
    <w:rsid w:val="2D2B45A9"/>
    <w:rsid w:val="2E8A1F67"/>
    <w:rsid w:val="2FCE1F78"/>
    <w:rsid w:val="31174DA4"/>
    <w:rsid w:val="31E51409"/>
    <w:rsid w:val="32886F74"/>
    <w:rsid w:val="330C088E"/>
    <w:rsid w:val="33552E44"/>
    <w:rsid w:val="3555506A"/>
    <w:rsid w:val="37187417"/>
    <w:rsid w:val="37764AE1"/>
    <w:rsid w:val="38A21551"/>
    <w:rsid w:val="3B8D0A22"/>
    <w:rsid w:val="3C0E0A5C"/>
    <w:rsid w:val="3EC83B67"/>
    <w:rsid w:val="3F0D09C6"/>
    <w:rsid w:val="3F3E1E72"/>
    <w:rsid w:val="3FE206D5"/>
    <w:rsid w:val="40BB4940"/>
    <w:rsid w:val="40C377CE"/>
    <w:rsid w:val="41C932CA"/>
    <w:rsid w:val="43247753"/>
    <w:rsid w:val="43394480"/>
    <w:rsid w:val="44767BDF"/>
    <w:rsid w:val="44FF5255"/>
    <w:rsid w:val="46CC1F51"/>
    <w:rsid w:val="46ED24A2"/>
    <w:rsid w:val="487E0D7E"/>
    <w:rsid w:val="4AD7736C"/>
    <w:rsid w:val="4B3621F1"/>
    <w:rsid w:val="4B8A3F84"/>
    <w:rsid w:val="4CD27092"/>
    <w:rsid w:val="4D416DCE"/>
    <w:rsid w:val="4D594475"/>
    <w:rsid w:val="4DF27705"/>
    <w:rsid w:val="4EA24A37"/>
    <w:rsid w:val="4FDF2F1A"/>
    <w:rsid w:val="514E65F3"/>
    <w:rsid w:val="532C2301"/>
    <w:rsid w:val="53A71C4B"/>
    <w:rsid w:val="554C3600"/>
    <w:rsid w:val="572A2B91"/>
    <w:rsid w:val="578135A0"/>
    <w:rsid w:val="58BC54DF"/>
    <w:rsid w:val="5ACF2987"/>
    <w:rsid w:val="5CCE66D5"/>
    <w:rsid w:val="5E3A5D61"/>
    <w:rsid w:val="5F3131BC"/>
    <w:rsid w:val="5FD0250C"/>
    <w:rsid w:val="603B0CB0"/>
    <w:rsid w:val="60541D9A"/>
    <w:rsid w:val="60BD0047"/>
    <w:rsid w:val="620C10EB"/>
    <w:rsid w:val="624C0D43"/>
    <w:rsid w:val="63504103"/>
    <w:rsid w:val="63F97611"/>
    <w:rsid w:val="64805613"/>
    <w:rsid w:val="65B3796C"/>
    <w:rsid w:val="665A5356"/>
    <w:rsid w:val="6684087E"/>
    <w:rsid w:val="67125837"/>
    <w:rsid w:val="679A112F"/>
    <w:rsid w:val="679D5A27"/>
    <w:rsid w:val="681151C8"/>
    <w:rsid w:val="6BC309B6"/>
    <w:rsid w:val="6D6E1218"/>
    <w:rsid w:val="6F9C23FB"/>
    <w:rsid w:val="70EF3E1D"/>
    <w:rsid w:val="729713FF"/>
    <w:rsid w:val="73BF0E77"/>
    <w:rsid w:val="73FD7D23"/>
    <w:rsid w:val="74B46F86"/>
    <w:rsid w:val="74BC5500"/>
    <w:rsid w:val="7505015D"/>
    <w:rsid w:val="751F6501"/>
    <w:rsid w:val="759E7B54"/>
    <w:rsid w:val="76542E2F"/>
    <w:rsid w:val="76B367FD"/>
    <w:rsid w:val="776F2970"/>
    <w:rsid w:val="78047EB1"/>
    <w:rsid w:val="78417632"/>
    <w:rsid w:val="7AAC00BD"/>
    <w:rsid w:val="7AFC5AB2"/>
    <w:rsid w:val="7B4836CD"/>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7"/>
    <w:qFormat/>
    <w:uiPriority w:val="0"/>
  </w:style>
  <w:style w:type="paragraph" w:customStyle="1" w:styleId="21">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CMCC-RAN4#116</cp:lastModifiedBy>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